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3A02" w:rsidRPr="00AE0455" w:rsidRDefault="00C13CFA" w:rsidP="008624FD">
      <w:pPr>
        <w:spacing w:line="360" w:lineRule="auto"/>
        <w:jc w:val="both"/>
        <w:rPr>
          <w:rFonts w:ascii="Palatino" w:hAnsi="Palatino"/>
          <w:b/>
          <w:bCs/>
          <w:i/>
          <w:iCs/>
        </w:rPr>
      </w:pPr>
      <w:r w:rsidRPr="00AE0455">
        <w:rPr>
          <w:rFonts w:ascii="Palatino" w:hAnsi="Palatino"/>
          <w:b/>
          <w:bCs/>
          <w:i/>
          <w:iCs/>
        </w:rPr>
        <w:t xml:space="preserve">Informe modelo para la adopción del acuerdo de Gobierno </w:t>
      </w:r>
      <w:r w:rsidR="002F3989">
        <w:rPr>
          <w:rFonts w:ascii="Palatino" w:hAnsi="Palatino"/>
          <w:b/>
          <w:bCs/>
          <w:i/>
          <w:iCs/>
        </w:rPr>
        <w:t xml:space="preserve">en [nombre de la entidad pública] </w:t>
      </w:r>
      <w:r w:rsidRPr="00AE0455">
        <w:rPr>
          <w:rFonts w:ascii="Palatino" w:hAnsi="Palatino"/>
          <w:b/>
          <w:bCs/>
          <w:i/>
          <w:iCs/>
        </w:rPr>
        <w:t>relativo al establecimiento de un porcentaje de reserva de contratos según lo recogido en la DA 4ª de la Ley 9/2017 de Contratos del Sector Público.</w:t>
      </w:r>
    </w:p>
    <w:p w:rsidR="00C13CFA" w:rsidRDefault="00C13CFA" w:rsidP="008624FD">
      <w:pPr>
        <w:spacing w:line="360" w:lineRule="auto"/>
        <w:jc w:val="both"/>
        <w:rPr>
          <w:rFonts w:ascii="Palatino" w:hAnsi="Palatino"/>
        </w:rPr>
      </w:pPr>
    </w:p>
    <w:p w:rsidR="00C13CFA" w:rsidRDefault="00F22A6D" w:rsidP="008624FD">
      <w:pPr>
        <w:spacing w:line="360" w:lineRule="auto"/>
        <w:jc w:val="both"/>
        <w:rPr>
          <w:rFonts w:ascii="Palatino" w:hAnsi="Palatino"/>
          <w:b/>
          <w:bCs/>
        </w:rPr>
      </w:pPr>
      <w:r>
        <w:rPr>
          <w:rFonts w:ascii="Palatino" w:hAnsi="Palatino"/>
          <w:b/>
          <w:bCs/>
        </w:rPr>
        <w:t>a) Fundamentos jurídicos europeos y españoles.</w:t>
      </w:r>
    </w:p>
    <w:p w:rsidR="00F22A6D" w:rsidRPr="00F22A6D" w:rsidRDefault="00F22A6D" w:rsidP="008624FD">
      <w:pPr>
        <w:spacing w:line="360" w:lineRule="auto"/>
        <w:jc w:val="both"/>
        <w:rPr>
          <w:rFonts w:ascii="Palatino" w:hAnsi="Palatino"/>
          <w:b/>
          <w:bCs/>
        </w:rPr>
      </w:pPr>
    </w:p>
    <w:p w:rsidR="00C13CFA" w:rsidRDefault="00C13CFA" w:rsidP="008624FD">
      <w:pPr>
        <w:spacing w:line="360" w:lineRule="auto"/>
        <w:jc w:val="both"/>
        <w:rPr>
          <w:rFonts w:ascii="Palatino" w:hAnsi="Palatino"/>
        </w:rPr>
      </w:pPr>
      <w:r>
        <w:rPr>
          <w:rFonts w:ascii="Palatino" w:hAnsi="Palatino"/>
        </w:rPr>
        <w:t xml:space="preserve">La Disposición Adicional 4ª de la </w:t>
      </w:r>
      <w:r w:rsidRPr="00C13CFA">
        <w:rPr>
          <w:rFonts w:ascii="Palatino" w:hAnsi="Palatino"/>
        </w:rPr>
        <w:t>Ley 9/2017, de 8 de noviembre, de Contratos del Sector Público, por la que se transponen al ordenamiento jurídico español las Directivas del Parlamento Europeo y del Consejo 2014/23/UE y 2014/24/UE, de 26 de febrero de 2014</w:t>
      </w:r>
      <w:r>
        <w:rPr>
          <w:rFonts w:ascii="Palatino" w:hAnsi="Palatino"/>
        </w:rPr>
        <w:t xml:space="preserve"> (en adelante LCSP) establece que </w:t>
      </w:r>
    </w:p>
    <w:p w:rsidR="00C13CFA" w:rsidRDefault="00C13CFA" w:rsidP="008624FD">
      <w:pPr>
        <w:spacing w:line="360" w:lineRule="auto"/>
        <w:jc w:val="both"/>
        <w:rPr>
          <w:rFonts w:ascii="Palatino" w:hAnsi="Palatino"/>
        </w:rPr>
      </w:pPr>
    </w:p>
    <w:p w:rsidR="00C13CFA" w:rsidRPr="00C13CFA" w:rsidRDefault="00C13CFA" w:rsidP="008624FD">
      <w:pPr>
        <w:spacing w:line="360" w:lineRule="auto"/>
        <w:jc w:val="both"/>
        <w:rPr>
          <w:rFonts w:ascii="Palatino" w:hAnsi="Palatino"/>
          <w:i/>
          <w:iCs/>
        </w:rPr>
      </w:pPr>
      <w:r w:rsidRPr="00C13CFA">
        <w:rPr>
          <w:rFonts w:ascii="Palatino" w:hAnsi="Palatino"/>
          <w:i/>
          <w:iCs/>
        </w:rPr>
        <w:t xml:space="preserve">1. Mediante Acuerdo del Consejo de Ministros o del órgano competente en el ámbito de las Comunidades Autónomas y de las Entidades Locales, </w:t>
      </w:r>
      <w:r w:rsidRPr="00C13CFA">
        <w:rPr>
          <w:rFonts w:ascii="Palatino" w:hAnsi="Palatino"/>
          <w:b/>
          <w:bCs/>
          <w:i/>
          <w:iCs/>
        </w:rPr>
        <w:t>se fijarán porcentajes mínimos de reserva del derecho a participar en los procedimientos de adjudicación de determinados contratos o de determinados lotes de los mismos a Centros Especiales de Empleo de iniciativa social y a empresas de inserción</w:t>
      </w:r>
      <w:r w:rsidRPr="00C13CFA">
        <w:rPr>
          <w:rFonts w:ascii="Palatino" w:hAnsi="Palatino"/>
          <w:i/>
          <w:iCs/>
        </w:rPr>
        <w:t xml:space="preserve"> reguladas, respectivamente, en el texto refundido de la Ley General de derechos de las personas con discapacidad y de su inclusión social, aprobada mediante Real Decreto Legislativo 1/2013, de 29 de noviembre, y en la Ley 44/2007, de 13 de diciembre, para la regulación del régimen de las empresas de inserción, que cumplan con los requisitos establecidos en dicha normativa para tener esta consideración, o un porcentaje mínimo de reserva de la ejecución de estos contratos en el marco de programas de empleo protegido, a condición de que el porcentaje de trabajadores con discapacidad o en situación de exclusión social de los Centros Especiales de Empleo, de las empresas de inserción o de los programas sea el previsto en su normativa de referencia y, en todo caso, al menos del 30 por 100.</w:t>
      </w:r>
    </w:p>
    <w:p w:rsidR="00C13CFA" w:rsidRPr="00C13CFA" w:rsidRDefault="00C13CFA" w:rsidP="008624FD">
      <w:pPr>
        <w:spacing w:line="360" w:lineRule="auto"/>
        <w:jc w:val="both"/>
        <w:rPr>
          <w:rFonts w:ascii="Palatino" w:hAnsi="Palatino"/>
          <w:i/>
          <w:iCs/>
        </w:rPr>
      </w:pPr>
    </w:p>
    <w:p w:rsidR="00C13CFA" w:rsidRPr="00C13CFA" w:rsidRDefault="00C13CFA" w:rsidP="008624FD">
      <w:pPr>
        <w:spacing w:line="360" w:lineRule="auto"/>
        <w:jc w:val="both"/>
        <w:rPr>
          <w:rFonts w:ascii="Palatino" w:hAnsi="Palatino"/>
          <w:b/>
          <w:bCs/>
          <w:i/>
          <w:iCs/>
        </w:rPr>
      </w:pPr>
      <w:r w:rsidRPr="00C13CFA">
        <w:rPr>
          <w:rFonts w:ascii="Palatino" w:hAnsi="Palatino"/>
          <w:i/>
          <w:iCs/>
        </w:rPr>
        <w:t xml:space="preserve">En el referido Acuerdo del Consejo de Ministros o del órgano competente en el ámbito de las Comunidades Autónomas y de las Entidades Locales, </w:t>
      </w:r>
      <w:r w:rsidRPr="00C13CFA">
        <w:rPr>
          <w:rFonts w:ascii="Palatino" w:hAnsi="Palatino"/>
          <w:b/>
          <w:bCs/>
          <w:i/>
          <w:iCs/>
        </w:rPr>
        <w:t>se fijarán las condiciones mínimas para garantizar el cumplimiento de lo establecido en el párrafo anterior</w:t>
      </w:r>
    </w:p>
    <w:p w:rsidR="00C13CFA" w:rsidRDefault="00C13CFA" w:rsidP="008624FD">
      <w:pPr>
        <w:spacing w:line="360" w:lineRule="auto"/>
        <w:rPr>
          <w:rFonts w:ascii="Palatino" w:hAnsi="Palatino"/>
        </w:rPr>
      </w:pPr>
    </w:p>
    <w:p w:rsidR="00C13CFA" w:rsidRDefault="00C13CFA" w:rsidP="008624FD">
      <w:pPr>
        <w:spacing w:line="360" w:lineRule="auto"/>
        <w:rPr>
          <w:rFonts w:ascii="Palatino" w:hAnsi="Palatino"/>
        </w:rPr>
      </w:pPr>
      <w:r>
        <w:rPr>
          <w:rFonts w:ascii="Palatino" w:hAnsi="Palatino"/>
        </w:rPr>
        <w:t xml:space="preserve">Se expresa por lo tanto un mandato claro e indubitado para que las entidades sujetas a la LCSP reserven de manera obligatoria un porcentaje de su contratación a las empresas que se contemplan en la Disposición Adicional. Esta </w:t>
      </w:r>
      <w:r>
        <w:rPr>
          <w:rFonts w:ascii="Palatino" w:hAnsi="Palatino"/>
        </w:rPr>
        <w:lastRenderedPageBreak/>
        <w:t>obligatoriedad nace de la decisión del legislador español de ir más allá del mandato de la Directiva 2014/24/UE, que en su artículo 20 dice que:</w:t>
      </w:r>
    </w:p>
    <w:p w:rsidR="00C13CFA" w:rsidRDefault="00C13CFA" w:rsidP="008624FD">
      <w:pPr>
        <w:spacing w:line="360" w:lineRule="auto"/>
        <w:rPr>
          <w:rFonts w:ascii="Palatino" w:hAnsi="Palatino"/>
        </w:rPr>
      </w:pPr>
    </w:p>
    <w:p w:rsidR="00C13CFA" w:rsidRDefault="00C13CFA" w:rsidP="008624FD">
      <w:pPr>
        <w:spacing w:line="360" w:lineRule="auto"/>
        <w:jc w:val="both"/>
        <w:rPr>
          <w:rFonts w:ascii="Palatino" w:eastAsia="Times New Roman" w:hAnsi="Palatino" w:cs="Times New Roman"/>
          <w:i/>
          <w:iCs/>
          <w:lang w:eastAsia="es-ES_tradnl"/>
        </w:rPr>
      </w:pPr>
      <w:r w:rsidRPr="00C13CFA">
        <w:rPr>
          <w:rFonts w:ascii="Palatino" w:eastAsia="Times New Roman" w:hAnsi="Palatino" w:cs="Times New Roman"/>
          <w:i/>
          <w:iCs/>
          <w:lang w:eastAsia="es-ES_tradnl"/>
        </w:rPr>
        <w:t>1. Los Estados miembros podrán reservar el derecho a par</w:t>
      </w:r>
      <w:r w:rsidRPr="00C13CFA">
        <w:rPr>
          <w:rFonts w:ascii="Palatino" w:eastAsia="Times New Roman" w:hAnsi="Palatino" w:cs="Times New Roman"/>
          <w:i/>
          <w:iCs/>
          <w:lang w:eastAsia="es-ES_tradnl"/>
        </w:rPr>
        <w:softHyphen/>
        <w:t>ticipar en los procedimientos de contratación a talleres protegi</w:t>
      </w:r>
      <w:r w:rsidRPr="00C13CFA">
        <w:rPr>
          <w:rFonts w:ascii="Palatino" w:eastAsia="Times New Roman" w:hAnsi="Palatino" w:cs="Times New Roman"/>
          <w:i/>
          <w:iCs/>
          <w:lang w:eastAsia="es-ES_tradnl"/>
        </w:rPr>
        <w:softHyphen/>
        <w:t>dos y operadores económicos cuyo objetivo principal sea la integración social y profesional de personas discapacitadas o desfavorecidas o prever la ejecución de los contratos en el contexto de programas de empleo protegido, a condición de que al menos el 30 % de los empleados de los talleres, los operadores económicos o los programas sean trabajadores dis</w:t>
      </w:r>
      <w:r w:rsidRPr="00C13CFA">
        <w:rPr>
          <w:rFonts w:ascii="Palatino" w:eastAsia="Times New Roman" w:hAnsi="Palatino" w:cs="Times New Roman"/>
          <w:i/>
          <w:iCs/>
          <w:lang w:eastAsia="es-ES_tradnl"/>
        </w:rPr>
        <w:softHyphen/>
        <w:t>capacitados o desfavorecidos.</w:t>
      </w:r>
    </w:p>
    <w:p w:rsidR="00C13CFA" w:rsidRDefault="00C13CFA" w:rsidP="008624FD">
      <w:pPr>
        <w:spacing w:line="360" w:lineRule="auto"/>
        <w:jc w:val="both"/>
        <w:rPr>
          <w:rFonts w:ascii="Palatino" w:eastAsia="Times New Roman" w:hAnsi="Palatino" w:cs="Times New Roman"/>
          <w:i/>
          <w:iCs/>
          <w:lang w:eastAsia="es-ES_tradnl"/>
        </w:rPr>
      </w:pPr>
    </w:p>
    <w:p w:rsidR="00C13CFA" w:rsidRDefault="00C13CFA"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lang w:eastAsia="es-ES_tradnl"/>
        </w:rPr>
        <w:t>De este modo, España, junto con Lituania y Hungría, es de los pocos países en el seno de la UE que establece un porcentaje de reserva obligatorio, si bien deja libertad a cada entidad pública (salvo las pertenecientes a la Administración General del Estado) para definir la mejor manera de articular la mencionada reserva (ver Mendoza-Jiménez et. al, 2018).</w:t>
      </w:r>
    </w:p>
    <w:p w:rsidR="00C13CFA" w:rsidRDefault="00C13CFA" w:rsidP="008624FD">
      <w:pPr>
        <w:spacing w:line="360" w:lineRule="auto"/>
        <w:jc w:val="both"/>
        <w:rPr>
          <w:rFonts w:ascii="Palatino" w:eastAsia="Times New Roman" w:hAnsi="Palatino" w:cs="Times New Roman"/>
          <w:lang w:eastAsia="es-ES_tradnl"/>
        </w:rPr>
      </w:pPr>
    </w:p>
    <w:p w:rsidR="00C13CFA" w:rsidRDefault="00C13CFA"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lang w:eastAsia="es-ES_tradnl"/>
        </w:rPr>
        <w:t>La reserva de contrato</w:t>
      </w:r>
      <w:r w:rsidR="00F22A6D">
        <w:rPr>
          <w:rFonts w:ascii="Palatino" w:eastAsia="Times New Roman" w:hAnsi="Palatino" w:cs="Times New Roman"/>
          <w:lang w:eastAsia="es-ES_tradnl"/>
        </w:rPr>
        <w:t>s</w:t>
      </w:r>
      <w:r>
        <w:rPr>
          <w:rFonts w:ascii="Palatino" w:eastAsia="Times New Roman" w:hAnsi="Palatino" w:cs="Times New Roman"/>
          <w:lang w:eastAsia="es-ES_tradnl"/>
        </w:rPr>
        <w:t xml:space="preserve"> supone una limitación al principio general de la libre competencia que se encuentra amparado tanto por </w:t>
      </w:r>
      <w:r w:rsidR="00AE0455">
        <w:rPr>
          <w:rFonts w:ascii="Palatino" w:eastAsia="Times New Roman" w:hAnsi="Palatino" w:cs="Times New Roman"/>
          <w:lang w:eastAsia="es-ES_tradnl"/>
        </w:rPr>
        <w:t xml:space="preserve">distintos considerandos de la Directiva 2014/24/UE – por ejemplo, el 36 – como por el artículo 132 de la LCSP que regula que: </w:t>
      </w:r>
      <w:r w:rsidR="00AE0455" w:rsidRPr="00AE0455">
        <w:rPr>
          <w:rFonts w:ascii="Palatino" w:eastAsia="Times New Roman" w:hAnsi="Palatino" w:cs="Times New Roman"/>
          <w:i/>
          <w:iCs/>
          <w:lang w:eastAsia="es-ES_tradnl"/>
        </w:rPr>
        <w:t xml:space="preserve">En ningún caso podrá limitarse la participación por la forma jurídica o el ánimo de lucro en la contratación, </w:t>
      </w:r>
      <w:r w:rsidR="00AE0455" w:rsidRPr="00AE0455">
        <w:rPr>
          <w:rFonts w:ascii="Palatino" w:eastAsia="Times New Roman" w:hAnsi="Palatino" w:cs="Times New Roman"/>
          <w:b/>
          <w:bCs/>
          <w:i/>
          <w:iCs/>
          <w:lang w:eastAsia="es-ES_tradnl"/>
        </w:rPr>
        <w:t>salvo en los contratos reservados para entidades recogidas en la disposición adicional cuarta</w:t>
      </w:r>
      <w:r w:rsidR="00AE0455">
        <w:rPr>
          <w:rFonts w:ascii="Palatino" w:eastAsia="Times New Roman" w:hAnsi="Palatino" w:cs="Times New Roman"/>
          <w:lang w:eastAsia="es-ES_tradnl"/>
        </w:rPr>
        <w:t xml:space="preserve">. </w:t>
      </w:r>
    </w:p>
    <w:p w:rsidR="00AE0455" w:rsidRDefault="00AE0455" w:rsidP="008624FD">
      <w:pPr>
        <w:spacing w:line="360" w:lineRule="auto"/>
        <w:jc w:val="both"/>
        <w:rPr>
          <w:rFonts w:ascii="Palatino" w:eastAsia="Times New Roman" w:hAnsi="Palatino" w:cs="Times New Roman"/>
          <w:lang w:eastAsia="es-ES_tradnl"/>
        </w:rPr>
      </w:pPr>
    </w:p>
    <w:p w:rsidR="00AE0455" w:rsidRDefault="00AE0455"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lang w:eastAsia="es-ES_tradnl"/>
        </w:rPr>
        <w:t xml:space="preserve">Por su parte, el artículo 99 de la LCSP establece que [el órgano de contratación] </w:t>
      </w:r>
      <w:r w:rsidRPr="00AE0455">
        <w:rPr>
          <w:rFonts w:ascii="Palatino" w:eastAsia="Times New Roman" w:hAnsi="Palatino" w:cs="Times New Roman"/>
          <w:b/>
          <w:bCs/>
          <w:i/>
          <w:iCs/>
          <w:lang w:eastAsia="es-ES_tradnl"/>
        </w:rPr>
        <w:t>Podrá reservar alguno o algunos de los lotes</w:t>
      </w:r>
      <w:r w:rsidRPr="00AE0455">
        <w:rPr>
          <w:rFonts w:ascii="Palatino" w:eastAsia="Times New Roman" w:hAnsi="Palatino" w:cs="Times New Roman"/>
          <w:i/>
          <w:iCs/>
          <w:lang w:eastAsia="es-ES_tradnl"/>
        </w:rPr>
        <w:t xml:space="preserve"> para Centros Especiales de Empleo o para empresas de inserción, o un porcentaje mínimo de reserva de la ejecución de estos contratos en el marco de programas de empleo protegido, de conformidad con lo dispuesto en la Disposición adicional cuarta</w:t>
      </w:r>
      <w:r>
        <w:rPr>
          <w:rFonts w:ascii="Palatino" w:eastAsia="Times New Roman" w:hAnsi="Palatino" w:cs="Times New Roman"/>
          <w:lang w:eastAsia="es-ES_tradnl"/>
        </w:rPr>
        <w:t xml:space="preserve">. Igualmente, el artículo 145.2 al hablar de características sociales menciona la </w:t>
      </w:r>
      <w:r w:rsidRPr="00AE0455">
        <w:rPr>
          <w:rFonts w:ascii="Palatino" w:eastAsia="Times New Roman" w:hAnsi="Palatino" w:cs="Times New Roman"/>
          <w:lang w:eastAsia="es-ES_tradnl"/>
        </w:rPr>
        <w:t>subcontratación con Centros Especiales de Empleo o Empresas de Inserción</w:t>
      </w:r>
      <w:r>
        <w:rPr>
          <w:rFonts w:ascii="Palatino" w:eastAsia="Times New Roman" w:hAnsi="Palatino" w:cs="Times New Roman"/>
          <w:lang w:eastAsia="es-ES_tradnl"/>
        </w:rPr>
        <w:t xml:space="preserve"> entre las posibles finalidades. </w:t>
      </w:r>
    </w:p>
    <w:p w:rsidR="00AE0455" w:rsidRDefault="00AE0455" w:rsidP="008624FD">
      <w:pPr>
        <w:spacing w:line="360" w:lineRule="auto"/>
        <w:jc w:val="both"/>
        <w:rPr>
          <w:rFonts w:ascii="Palatino" w:eastAsia="Times New Roman" w:hAnsi="Palatino" w:cs="Times New Roman"/>
          <w:lang w:eastAsia="es-ES_tradnl"/>
        </w:rPr>
      </w:pPr>
    </w:p>
    <w:p w:rsidR="008624FD" w:rsidRDefault="008624FD" w:rsidP="008624FD">
      <w:pPr>
        <w:spacing w:line="360" w:lineRule="auto"/>
        <w:jc w:val="both"/>
        <w:rPr>
          <w:rFonts w:ascii="Palatino" w:hAnsi="Palatino"/>
          <w:b/>
          <w:bCs/>
        </w:rPr>
      </w:pPr>
    </w:p>
    <w:p w:rsidR="008624FD" w:rsidRDefault="008624FD" w:rsidP="008624FD">
      <w:pPr>
        <w:spacing w:line="360" w:lineRule="auto"/>
        <w:jc w:val="both"/>
        <w:rPr>
          <w:rFonts w:ascii="Palatino" w:hAnsi="Palatino"/>
          <w:b/>
          <w:bCs/>
        </w:rPr>
      </w:pPr>
    </w:p>
    <w:p w:rsidR="008624FD" w:rsidRDefault="008624FD" w:rsidP="008624FD">
      <w:pPr>
        <w:spacing w:line="360" w:lineRule="auto"/>
        <w:jc w:val="both"/>
        <w:rPr>
          <w:rFonts w:ascii="Palatino" w:hAnsi="Palatino"/>
          <w:b/>
          <w:bCs/>
        </w:rPr>
      </w:pPr>
    </w:p>
    <w:p w:rsidR="00F22A6D" w:rsidRDefault="00F22A6D" w:rsidP="008624FD">
      <w:pPr>
        <w:spacing w:line="360" w:lineRule="auto"/>
        <w:jc w:val="both"/>
        <w:rPr>
          <w:rFonts w:ascii="Palatino" w:hAnsi="Palatino"/>
          <w:b/>
          <w:bCs/>
        </w:rPr>
      </w:pPr>
      <w:r>
        <w:rPr>
          <w:rFonts w:ascii="Palatino" w:hAnsi="Palatino"/>
          <w:b/>
          <w:bCs/>
        </w:rPr>
        <w:lastRenderedPageBreak/>
        <w:t>b) Los contratos reservados como impulso a una contratación pública sostenible.</w:t>
      </w:r>
    </w:p>
    <w:p w:rsidR="00F22A6D" w:rsidRDefault="00F22A6D" w:rsidP="008624FD">
      <w:pPr>
        <w:spacing w:line="360" w:lineRule="auto"/>
        <w:jc w:val="both"/>
        <w:rPr>
          <w:rFonts w:ascii="Palatino" w:eastAsia="Times New Roman" w:hAnsi="Palatino" w:cs="Times New Roman"/>
          <w:lang w:eastAsia="es-ES_tradnl"/>
        </w:rPr>
      </w:pPr>
    </w:p>
    <w:p w:rsidR="00AE0455" w:rsidRDefault="00AE0455"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lang w:eastAsia="es-ES_tradnl"/>
        </w:rPr>
        <w:t>Todo lo anterior viene a componer un conjunto de disposiciones legales que está destinado a apoyar la transición hacia una contratación pública que sea estratégica y que contribuya a la sostenibilidad. El papel de las licitaciones para apoyar el desarrollo sostenible se reconoce tanto dentro de la Estrategia Europa 2020 como dentro de los Objetivos de Desarrollo Sostenible (en adelante ODS) que fueron aprobados por las Naciones Unidas en 2015.</w:t>
      </w:r>
    </w:p>
    <w:p w:rsidR="00AE0455" w:rsidRDefault="00AE0455" w:rsidP="008624FD">
      <w:pPr>
        <w:spacing w:line="360" w:lineRule="auto"/>
        <w:jc w:val="both"/>
        <w:rPr>
          <w:rFonts w:ascii="Palatino" w:eastAsia="Times New Roman" w:hAnsi="Palatino" w:cs="Times New Roman"/>
          <w:lang w:eastAsia="es-ES_tradnl"/>
        </w:rPr>
      </w:pPr>
    </w:p>
    <w:p w:rsidR="00AE0455" w:rsidRDefault="00AE0455"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lang w:eastAsia="es-ES_tradnl"/>
        </w:rPr>
        <w:t xml:space="preserve">En concreto, la meta 12.7 habla de </w:t>
      </w:r>
      <w:r w:rsidRPr="00F22A6D">
        <w:rPr>
          <w:rFonts w:ascii="Palatino" w:eastAsia="Times New Roman" w:hAnsi="Palatino" w:cs="Times New Roman"/>
          <w:i/>
          <w:iCs/>
          <w:lang w:eastAsia="es-ES_tradnl"/>
        </w:rPr>
        <w:t>Promover prácticas de adquisición pública que sean sostenibles, de conformidad con las políticas y prioridades nacionales</w:t>
      </w:r>
      <w:r w:rsidR="00F22A6D">
        <w:rPr>
          <w:rFonts w:ascii="Palatino" w:eastAsia="Times New Roman" w:hAnsi="Palatino" w:cs="Times New Roman"/>
          <w:i/>
          <w:iCs/>
          <w:lang w:eastAsia="es-ES_tradnl"/>
        </w:rPr>
        <w:t xml:space="preserve"> </w:t>
      </w:r>
      <w:r w:rsidR="00F22A6D">
        <w:rPr>
          <w:rFonts w:ascii="Palatino" w:eastAsia="Times New Roman" w:hAnsi="Palatino" w:cs="Times New Roman"/>
          <w:lang w:eastAsia="es-ES_tradnl"/>
        </w:rPr>
        <w:t>para lo cual es necesario, siguiendo el mandato del artículo 1.3 de la LCSP, fomentar a las pymes y a las empresas de Economía Social, condiciones que cumplen las empresas que pueden beneficiarse de la reserva.</w:t>
      </w:r>
    </w:p>
    <w:p w:rsidR="00F22A6D" w:rsidRDefault="00F22A6D" w:rsidP="008624FD">
      <w:pPr>
        <w:spacing w:line="360" w:lineRule="auto"/>
        <w:jc w:val="both"/>
        <w:rPr>
          <w:rFonts w:ascii="Palatino" w:eastAsia="Times New Roman" w:hAnsi="Palatino" w:cs="Times New Roman"/>
          <w:lang w:eastAsia="es-ES_tradnl"/>
        </w:rPr>
      </w:pPr>
    </w:p>
    <w:p w:rsidR="00F22A6D" w:rsidRDefault="00F22A6D"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lang w:eastAsia="es-ES_tradnl"/>
        </w:rPr>
        <w:t>En el contexto de crisis sanitaria, social y económica actual la reserva de contratos a entidades de esta naturaleza es una vía para, además de cumplir la legislación vigente, favorecer la integración laboral y social. Las Empresas de Inserción son organizaciones que trabajan con personas que pertenecen a colectivos de difícil inserción laboral, como personas con bajos recursos, que han sido víctimas de violencia de género, con un bajo nivel educativo, etc. Por su parte, los Centros Especiales de Empleo de iniciativa social tienen en su plantilla un mínimo del 70 % de personas con una discapacidad reconocida del 33 % o superior.</w:t>
      </w:r>
    </w:p>
    <w:p w:rsidR="00F22A6D" w:rsidRDefault="00F22A6D" w:rsidP="008624FD">
      <w:pPr>
        <w:spacing w:line="360" w:lineRule="auto"/>
        <w:jc w:val="both"/>
        <w:rPr>
          <w:rFonts w:ascii="Palatino" w:eastAsia="Times New Roman" w:hAnsi="Palatino" w:cs="Times New Roman"/>
          <w:lang w:eastAsia="es-ES_tradnl"/>
        </w:rPr>
      </w:pPr>
    </w:p>
    <w:p w:rsidR="00F22A6D" w:rsidRDefault="00F22A6D"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lang w:eastAsia="es-ES_tradnl"/>
        </w:rPr>
        <w:t xml:space="preserve">Por lo tanto, el </w:t>
      </w:r>
      <w:r w:rsidR="00FD084A">
        <w:rPr>
          <w:rFonts w:ascii="Palatino" w:eastAsia="Times New Roman" w:hAnsi="Palatino" w:cs="Times New Roman"/>
          <w:lang w:eastAsia="es-ES_tradnl"/>
        </w:rPr>
        <w:t>[nombre de la entidad pública]</w:t>
      </w:r>
      <w:r>
        <w:rPr>
          <w:rFonts w:ascii="Palatino" w:eastAsia="Times New Roman" w:hAnsi="Palatino" w:cs="Times New Roman"/>
          <w:lang w:eastAsia="es-ES_tradnl"/>
        </w:rPr>
        <w:t xml:space="preserve"> cuenta con una oportunidad única para dotar de un carácter más social y ambiental a su contratación pública, y de hacerlo sin coste adicional. De hecho, la licitación y ejecución de este tipo de contratos tiene aparejada una serie de beneficios que se traducen en una menor presión de los servicios sociales y una manera efectiva de mejorar la vida de las personas a través de un contrato de trabajo regularizado. Tanto las Empresas de Inserción como los Centros Especiales de Empleo son estructuras reguladas legalmente que cuentan con personas especializadas para realizar itinerarios formativos.</w:t>
      </w:r>
    </w:p>
    <w:p w:rsidR="00DE77AA" w:rsidRDefault="00DE77AA" w:rsidP="008624FD">
      <w:pPr>
        <w:spacing w:line="360" w:lineRule="auto"/>
        <w:jc w:val="both"/>
        <w:rPr>
          <w:rFonts w:ascii="Palatino" w:eastAsia="Times New Roman" w:hAnsi="Palatino" w:cs="Times New Roman"/>
          <w:lang w:eastAsia="es-ES_tradnl"/>
        </w:rPr>
      </w:pPr>
    </w:p>
    <w:p w:rsidR="00DE77AA" w:rsidRDefault="00DE77AA" w:rsidP="008624FD">
      <w:pPr>
        <w:spacing w:line="360" w:lineRule="auto"/>
        <w:jc w:val="both"/>
        <w:rPr>
          <w:rFonts w:ascii="Palatino" w:eastAsia="Times New Roman" w:hAnsi="Palatino" w:cs="Times New Roman"/>
          <w:b/>
          <w:bCs/>
          <w:lang w:eastAsia="es-ES_tradnl"/>
        </w:rPr>
      </w:pPr>
      <w:r>
        <w:rPr>
          <w:rFonts w:ascii="Palatino" w:eastAsia="Times New Roman" w:hAnsi="Palatino" w:cs="Times New Roman"/>
          <w:b/>
          <w:bCs/>
          <w:lang w:eastAsia="es-ES_tradnl"/>
        </w:rPr>
        <w:lastRenderedPageBreak/>
        <w:t>c) La situación en Canarias</w:t>
      </w:r>
    </w:p>
    <w:p w:rsidR="00DE77AA" w:rsidRDefault="00DE77AA" w:rsidP="008624FD">
      <w:pPr>
        <w:spacing w:line="360" w:lineRule="auto"/>
        <w:jc w:val="both"/>
        <w:rPr>
          <w:rFonts w:ascii="Palatino" w:eastAsia="Times New Roman" w:hAnsi="Palatino" w:cs="Times New Roman"/>
          <w:b/>
          <w:bCs/>
          <w:lang w:eastAsia="es-ES_tradnl"/>
        </w:rPr>
      </w:pPr>
    </w:p>
    <w:p w:rsidR="00DE77AA" w:rsidRDefault="00DE77AA"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lang w:eastAsia="es-ES_tradnl"/>
        </w:rPr>
        <w:t xml:space="preserve">En Canarias existen ya varias experiencias exitosas en la reserva de contratos. En cuanto a Acuerdos de Gobiernos, el Gobierno de Canarias publicó el 7 de junio de 2019 en el BOC la:  </w:t>
      </w:r>
    </w:p>
    <w:p w:rsidR="00DE77AA" w:rsidRDefault="00DE77AA" w:rsidP="008624FD">
      <w:pPr>
        <w:spacing w:line="360" w:lineRule="auto"/>
        <w:jc w:val="both"/>
        <w:rPr>
          <w:rFonts w:ascii="Palatino" w:eastAsia="Times New Roman" w:hAnsi="Palatino" w:cs="Times New Roman"/>
          <w:lang w:eastAsia="es-ES_tradnl"/>
        </w:rPr>
      </w:pPr>
    </w:p>
    <w:p w:rsidR="00DE77AA" w:rsidRDefault="00DE77AA" w:rsidP="008624FD">
      <w:pPr>
        <w:spacing w:line="360" w:lineRule="auto"/>
        <w:jc w:val="both"/>
        <w:rPr>
          <w:rFonts w:ascii="Palatino" w:eastAsia="Times New Roman" w:hAnsi="Palatino" w:cs="Times New Roman"/>
          <w:i/>
          <w:iCs/>
          <w:lang w:eastAsia="es-ES_tradnl"/>
        </w:rPr>
      </w:pPr>
      <w:r w:rsidRPr="00DE77AA">
        <w:rPr>
          <w:rFonts w:ascii="Palatino" w:eastAsia="Times New Roman" w:hAnsi="Palatino" w:cs="Times New Roman"/>
          <w:i/>
          <w:iCs/>
          <w:lang w:eastAsia="es-ES_tradnl"/>
        </w:rPr>
        <w:t xml:space="preserve">Resolución de 23 de mayo de 2019, por la que se dispone la publicación del Acuerdo por el que se procede a la fijación de un porcentaje de reserva del derecho a participar en los procedimientos de adjudicación de </w:t>
      </w:r>
      <w:proofErr w:type="gramStart"/>
      <w:r w:rsidRPr="00DE77AA">
        <w:rPr>
          <w:rFonts w:ascii="Palatino" w:eastAsia="Times New Roman" w:hAnsi="Palatino" w:cs="Times New Roman"/>
          <w:i/>
          <w:iCs/>
          <w:lang w:eastAsia="es-ES_tradnl"/>
        </w:rPr>
        <w:t>determinados contratos o determinados lotes</w:t>
      </w:r>
      <w:proofErr w:type="gramEnd"/>
      <w:r w:rsidRPr="00DE77AA">
        <w:rPr>
          <w:rFonts w:ascii="Palatino" w:eastAsia="Times New Roman" w:hAnsi="Palatino" w:cs="Times New Roman"/>
          <w:i/>
          <w:iCs/>
          <w:lang w:eastAsia="es-ES_tradnl"/>
        </w:rPr>
        <w:t xml:space="preserve"> de los mismos, a centros especiales de empleo de</w:t>
      </w:r>
      <w:r>
        <w:rPr>
          <w:rFonts w:ascii="Palatino" w:eastAsia="Times New Roman" w:hAnsi="Palatino" w:cs="Times New Roman"/>
          <w:i/>
          <w:iCs/>
          <w:lang w:eastAsia="es-ES_tradnl"/>
        </w:rPr>
        <w:t xml:space="preserve"> </w:t>
      </w:r>
      <w:r w:rsidRPr="00DE77AA">
        <w:rPr>
          <w:rFonts w:ascii="Palatino" w:eastAsia="Times New Roman" w:hAnsi="Palatino" w:cs="Times New Roman"/>
          <w:i/>
          <w:iCs/>
          <w:lang w:eastAsia="es-ES_tradnl"/>
        </w:rPr>
        <w:t>iniciativa social, a empresas de inserción y programas de empleo protegido, y se</w:t>
      </w:r>
      <w:r>
        <w:rPr>
          <w:rFonts w:ascii="Palatino" w:eastAsia="Times New Roman" w:hAnsi="Palatino" w:cs="Times New Roman"/>
          <w:i/>
          <w:iCs/>
          <w:lang w:eastAsia="es-ES_tradnl"/>
        </w:rPr>
        <w:t xml:space="preserve"> </w:t>
      </w:r>
      <w:r w:rsidRPr="00DE77AA">
        <w:rPr>
          <w:rFonts w:ascii="Palatino" w:eastAsia="Times New Roman" w:hAnsi="Palatino" w:cs="Times New Roman"/>
          <w:i/>
          <w:iCs/>
          <w:lang w:eastAsia="es-ES_tradnl"/>
        </w:rPr>
        <w:t>fijan las condiciones mínimas para su cumplimiento</w:t>
      </w:r>
      <w:r>
        <w:rPr>
          <w:rFonts w:ascii="Palatino" w:eastAsia="Times New Roman" w:hAnsi="Palatino" w:cs="Times New Roman"/>
          <w:i/>
          <w:iCs/>
          <w:lang w:eastAsia="es-ES_tradnl"/>
        </w:rPr>
        <w:t xml:space="preserve"> </w:t>
      </w:r>
    </w:p>
    <w:p w:rsidR="00DE77AA" w:rsidRDefault="00DE77AA" w:rsidP="008624FD">
      <w:pPr>
        <w:spacing w:line="360" w:lineRule="auto"/>
        <w:jc w:val="both"/>
        <w:rPr>
          <w:rFonts w:ascii="Palatino" w:eastAsia="Times New Roman" w:hAnsi="Palatino" w:cs="Times New Roman"/>
          <w:i/>
          <w:iCs/>
          <w:lang w:eastAsia="es-ES_tradnl"/>
        </w:rPr>
      </w:pPr>
    </w:p>
    <w:p w:rsidR="00DE77AA" w:rsidRDefault="00DE77AA"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lang w:eastAsia="es-ES_tradnl"/>
        </w:rPr>
        <w:t xml:space="preserve">En esa resolución se establecen tanto los porcentajes de reserva (un 2% del Anexo VI de la LCSP) como las condiciones para cumplirlas (con un Anexo de instrucciones). </w:t>
      </w:r>
    </w:p>
    <w:p w:rsidR="00CC0FE4" w:rsidRDefault="00CC0FE4" w:rsidP="008624FD">
      <w:pPr>
        <w:spacing w:line="360" w:lineRule="auto"/>
        <w:jc w:val="both"/>
        <w:rPr>
          <w:rFonts w:ascii="Palatino" w:eastAsia="Times New Roman" w:hAnsi="Palatino" w:cs="Times New Roman"/>
          <w:lang w:eastAsia="es-ES_tradnl"/>
        </w:rPr>
      </w:pPr>
    </w:p>
    <w:p w:rsidR="00CC0FE4" w:rsidRDefault="00CC0FE4"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lang w:eastAsia="es-ES_tradnl"/>
        </w:rPr>
        <w:t>En cuanto a su implementación en Canarias, el reciente informe del Diputado del Común indica que se detectan errores comunes como la confusión de los contratos reservados con planes de empleo o listas de personal, la consideración de que no se aplica a todas las entidades públicas lo que “denota un desconocimiento de las normas” imposibilitando su aplicación.</w:t>
      </w:r>
    </w:p>
    <w:p w:rsidR="00CC0FE4" w:rsidRDefault="00CC0FE4" w:rsidP="008624FD">
      <w:pPr>
        <w:spacing w:line="360" w:lineRule="auto"/>
        <w:jc w:val="both"/>
        <w:rPr>
          <w:rFonts w:ascii="Palatino" w:eastAsia="Times New Roman" w:hAnsi="Palatino" w:cs="Times New Roman"/>
          <w:lang w:eastAsia="es-ES_tradnl"/>
        </w:rPr>
      </w:pPr>
    </w:p>
    <w:p w:rsidR="00CC0FE4" w:rsidRDefault="00CC0FE4"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lang w:eastAsia="es-ES_tradnl"/>
        </w:rPr>
        <w:t>Esta situación se confirma con el informe 4/2020 de la Junta Consultiva de Canarias que dibuja un panorama desolador que se resume en lo siguiente:</w:t>
      </w:r>
    </w:p>
    <w:p w:rsidR="00CC0FE4" w:rsidRDefault="00CC0FE4" w:rsidP="008624FD">
      <w:pPr>
        <w:spacing w:line="360" w:lineRule="auto"/>
        <w:jc w:val="both"/>
        <w:rPr>
          <w:rFonts w:ascii="Palatino" w:eastAsia="Times New Roman" w:hAnsi="Palatino" w:cs="Times New Roman"/>
          <w:lang w:eastAsia="es-ES_tradnl"/>
        </w:rPr>
      </w:pPr>
    </w:p>
    <w:p w:rsidR="00CC0FE4" w:rsidRPr="00CC0FE4" w:rsidRDefault="00CC0FE4" w:rsidP="00CC0FE4">
      <w:pPr>
        <w:spacing w:line="360" w:lineRule="auto"/>
        <w:jc w:val="both"/>
        <w:rPr>
          <w:rFonts w:ascii="Palatino" w:eastAsia="Times New Roman" w:hAnsi="Palatino" w:cs="Times New Roman"/>
          <w:i/>
          <w:iCs/>
          <w:lang w:eastAsia="es-ES_tradnl"/>
        </w:rPr>
      </w:pPr>
      <w:r w:rsidRPr="00CC0FE4">
        <w:rPr>
          <w:rFonts w:ascii="Palatino" w:eastAsia="Times New Roman" w:hAnsi="Palatino" w:cs="Times New Roman"/>
          <w:i/>
          <w:iCs/>
          <w:lang w:eastAsia="es-ES_tradnl"/>
        </w:rPr>
        <w:t>Existe un desconocimiento generalizado por parte de las unidades administrativas de los órganos</w:t>
      </w:r>
      <w:r>
        <w:rPr>
          <w:rFonts w:ascii="Palatino" w:eastAsia="Times New Roman" w:hAnsi="Palatino" w:cs="Times New Roman"/>
          <w:i/>
          <w:iCs/>
          <w:lang w:eastAsia="es-ES_tradnl"/>
        </w:rPr>
        <w:t xml:space="preserve"> </w:t>
      </w:r>
      <w:r w:rsidRPr="00CC0FE4">
        <w:rPr>
          <w:rFonts w:ascii="Palatino" w:eastAsia="Times New Roman" w:hAnsi="Palatino" w:cs="Times New Roman"/>
          <w:i/>
          <w:iCs/>
          <w:lang w:eastAsia="es-ES_tradnl"/>
        </w:rPr>
        <w:t>de contratación de la figura de los contratos reservados, contratos regulados no sólo en la norma europea, sino igualmente, en nuestro ordenamiento jurídico interno a través de la LCSP, que impone la obligación a estos órganos de contratación de reservar un mínimo de sus contrataciones a los Centro Especial de Empleo de iniciativa social y a las empresas de inserción, para cumplir un fin social</w:t>
      </w:r>
    </w:p>
    <w:p w:rsidR="00DE77AA" w:rsidRDefault="00DE77AA" w:rsidP="008624FD">
      <w:pPr>
        <w:spacing w:line="360" w:lineRule="auto"/>
        <w:jc w:val="both"/>
        <w:rPr>
          <w:rFonts w:ascii="Palatino" w:eastAsia="Times New Roman" w:hAnsi="Palatino" w:cs="Times New Roman"/>
          <w:lang w:eastAsia="es-ES_tradnl"/>
        </w:rPr>
      </w:pPr>
    </w:p>
    <w:p w:rsidR="00DE77AA" w:rsidRDefault="00DE77AA"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lang w:eastAsia="es-ES_tradnl"/>
        </w:rPr>
        <w:t xml:space="preserve">A nivel local, solamente el Cabildo de La Palma cuenta con un Acuerdo de Gobierno de 2019 que establece una reserva del 0,5 % del volumen de contratación del año anterior, mientras que no se tiene constancia de que existan </w:t>
      </w:r>
      <w:r>
        <w:rPr>
          <w:rFonts w:ascii="Palatino" w:eastAsia="Times New Roman" w:hAnsi="Palatino" w:cs="Times New Roman"/>
          <w:lang w:eastAsia="es-ES_tradnl"/>
        </w:rPr>
        <w:lastRenderedPageBreak/>
        <w:t xml:space="preserve">acuerdos de gobierno a nivel municipal.  Ello no impide que, de acuerdo con el </w:t>
      </w:r>
      <w:r w:rsidRPr="00DE77AA">
        <w:rPr>
          <w:rFonts w:ascii="Palatino" w:eastAsia="Times New Roman" w:hAnsi="Palatino" w:cs="Times New Roman"/>
          <w:lang w:eastAsia="es-ES_tradnl"/>
        </w:rPr>
        <w:t>Informe 19/2018 de la JCCA de la Comunidad Autónoma de Aragón:</w:t>
      </w:r>
      <w:r>
        <w:rPr>
          <w:rFonts w:ascii="Palatino" w:eastAsia="Times New Roman" w:hAnsi="Palatino" w:cs="Times New Roman"/>
          <w:lang w:eastAsia="es-ES_tradnl"/>
        </w:rPr>
        <w:t xml:space="preserve"> </w:t>
      </w:r>
    </w:p>
    <w:p w:rsidR="00DE77AA" w:rsidRPr="00DE77AA" w:rsidRDefault="00DE77AA" w:rsidP="008624FD">
      <w:pPr>
        <w:spacing w:line="360" w:lineRule="auto"/>
        <w:jc w:val="both"/>
        <w:rPr>
          <w:rFonts w:ascii="Palatino" w:eastAsia="Times New Roman" w:hAnsi="Palatino" w:cs="Times New Roman"/>
          <w:lang w:eastAsia="es-ES_tradnl"/>
        </w:rPr>
      </w:pPr>
    </w:p>
    <w:p w:rsidR="00DE77AA" w:rsidRDefault="00DE77AA" w:rsidP="008624FD">
      <w:pPr>
        <w:spacing w:line="360" w:lineRule="auto"/>
        <w:jc w:val="both"/>
        <w:rPr>
          <w:rFonts w:ascii="Palatino" w:eastAsia="Times New Roman" w:hAnsi="Palatino" w:cs="Times New Roman"/>
          <w:i/>
          <w:iCs/>
          <w:lang w:eastAsia="es-ES_tradnl"/>
        </w:rPr>
      </w:pPr>
      <w:r w:rsidRPr="00DE77AA">
        <w:rPr>
          <w:rFonts w:ascii="Palatino" w:eastAsia="Times New Roman" w:hAnsi="Palatino" w:cs="Times New Roman"/>
          <w:i/>
          <w:iCs/>
          <w:lang w:eastAsia="es-ES_tradnl"/>
        </w:rPr>
        <w:t>Los órganos de contratación de las entidades locales pueden acordar específicamente reservar contratos o lotes independientemente de que se haya adoptado o no el acuerdo genérico de reserva por el órgano local competente.</w:t>
      </w:r>
    </w:p>
    <w:p w:rsidR="00DE77AA" w:rsidRDefault="00DE77AA" w:rsidP="008624FD">
      <w:pPr>
        <w:spacing w:line="360" w:lineRule="auto"/>
        <w:jc w:val="both"/>
        <w:rPr>
          <w:rFonts w:ascii="Palatino" w:eastAsia="Times New Roman" w:hAnsi="Palatino" w:cs="Times New Roman"/>
          <w:i/>
          <w:iCs/>
          <w:lang w:eastAsia="es-ES_tradnl"/>
        </w:rPr>
      </w:pPr>
    </w:p>
    <w:p w:rsidR="00DE77AA" w:rsidRDefault="00DE77AA"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lang w:eastAsia="es-ES_tradnl"/>
        </w:rPr>
        <w:t>De hecho, como puede verse en el siguiente mapa, existen ya varios ejemplos de contratos reservados que se concentran sobre todo en la isla de La Palma, donde gracias al trabajo de las entidades sociales en colaboración con la Universidad de La Laguna se han licitado y ejecutado numerosos procedimientos.</w:t>
      </w:r>
    </w:p>
    <w:p w:rsidR="00CC0FE4" w:rsidRDefault="00CC0FE4" w:rsidP="008624FD">
      <w:pPr>
        <w:spacing w:line="360" w:lineRule="auto"/>
        <w:jc w:val="both"/>
        <w:rPr>
          <w:rFonts w:ascii="Palatino" w:eastAsia="Times New Roman" w:hAnsi="Palatino" w:cs="Times New Roman"/>
          <w:b/>
          <w:bCs/>
          <w:lang w:eastAsia="es-ES_tradnl"/>
        </w:rPr>
      </w:pPr>
    </w:p>
    <w:p w:rsidR="00DE77AA" w:rsidRPr="00C515B0" w:rsidRDefault="00DE77AA" w:rsidP="008624FD">
      <w:pPr>
        <w:spacing w:line="360" w:lineRule="auto"/>
        <w:jc w:val="both"/>
        <w:rPr>
          <w:rFonts w:ascii="Palatino" w:eastAsia="Times New Roman" w:hAnsi="Palatino" w:cs="Times New Roman"/>
          <w:b/>
          <w:bCs/>
          <w:lang w:eastAsia="es-ES_tradnl"/>
        </w:rPr>
      </w:pPr>
      <w:r w:rsidRPr="00C515B0">
        <w:rPr>
          <w:rFonts w:ascii="Palatino" w:eastAsia="Times New Roman" w:hAnsi="Palatino" w:cs="Times New Roman"/>
          <w:b/>
          <w:bCs/>
          <w:lang w:eastAsia="es-ES_tradnl"/>
        </w:rPr>
        <w:t>Mapa 1: Distribución de contratos res</w:t>
      </w:r>
      <w:r w:rsidR="00C515B0" w:rsidRPr="00C515B0">
        <w:rPr>
          <w:rFonts w:ascii="Palatino" w:eastAsia="Times New Roman" w:hAnsi="Palatino" w:cs="Times New Roman"/>
          <w:b/>
          <w:bCs/>
          <w:lang w:eastAsia="es-ES_tradnl"/>
        </w:rPr>
        <w:t>ervados en Canarias</w:t>
      </w:r>
    </w:p>
    <w:p w:rsidR="00DE77AA" w:rsidRDefault="00DE77AA" w:rsidP="008624FD">
      <w:pPr>
        <w:spacing w:line="360" w:lineRule="auto"/>
        <w:jc w:val="both"/>
        <w:rPr>
          <w:rFonts w:ascii="Palatino" w:eastAsia="Times New Roman" w:hAnsi="Palatino" w:cs="Times New Roman"/>
          <w:lang w:eastAsia="es-ES_tradnl"/>
        </w:rPr>
      </w:pPr>
    </w:p>
    <w:p w:rsidR="00DE77AA" w:rsidRPr="00DE77AA" w:rsidRDefault="00DE77AA"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noProof/>
          <w:lang w:eastAsia="es-ES_tradnl"/>
        </w:rPr>
        <w:drawing>
          <wp:inline distT="0" distB="0" distL="0" distR="0">
            <wp:extent cx="5400040" cy="2337435"/>
            <wp:effectExtent l="0" t="0" r="0" b="0"/>
            <wp:docPr id="1" name="Imagen 1" descr="Imagen que contiene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Mapa&#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5400040" cy="2337435"/>
                    </a:xfrm>
                    <a:prstGeom prst="rect">
                      <a:avLst/>
                    </a:prstGeom>
                  </pic:spPr>
                </pic:pic>
              </a:graphicData>
            </a:graphic>
          </wp:inline>
        </w:drawing>
      </w:r>
    </w:p>
    <w:p w:rsidR="00F22A6D" w:rsidRDefault="00F22A6D" w:rsidP="008624FD">
      <w:pPr>
        <w:spacing w:line="360" w:lineRule="auto"/>
        <w:rPr>
          <w:rFonts w:ascii="Palatino" w:eastAsia="Times New Roman" w:hAnsi="Palatino" w:cs="Times New Roman"/>
          <w:lang w:eastAsia="es-ES_tradnl"/>
        </w:rPr>
      </w:pPr>
    </w:p>
    <w:p w:rsidR="00AE0455" w:rsidRPr="00AE0455" w:rsidRDefault="00AE0455" w:rsidP="008624FD">
      <w:pPr>
        <w:spacing w:line="360" w:lineRule="auto"/>
        <w:jc w:val="both"/>
        <w:rPr>
          <w:rFonts w:ascii="Palatino" w:eastAsia="Times New Roman" w:hAnsi="Palatino" w:cs="Times New Roman"/>
          <w:lang w:eastAsia="es-ES_tradnl"/>
        </w:rPr>
      </w:pPr>
    </w:p>
    <w:p w:rsidR="00C13CFA" w:rsidRDefault="00C515B0"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lang w:eastAsia="es-ES_tradnl"/>
        </w:rPr>
        <w:t xml:space="preserve">A nivel de Cabildos, se cuenta con algunas experiencias como el contrato reservado del Cabildo de Tenerife por valor de 36.432 € para el mantenimiento de los jardines del Organismo Autónomo de los Museos (disponible </w:t>
      </w:r>
      <w:hyperlink r:id="rId5" w:history="1">
        <w:r w:rsidRPr="00C515B0">
          <w:rPr>
            <w:rStyle w:val="Hipervnculo"/>
            <w:rFonts w:ascii="Palatino" w:eastAsia="Times New Roman" w:hAnsi="Palatino" w:cs="Times New Roman"/>
            <w:lang w:eastAsia="es-ES_tradnl"/>
          </w:rPr>
          <w:t>aquí</w:t>
        </w:r>
      </w:hyperlink>
      <w:r>
        <w:rPr>
          <w:rFonts w:ascii="Palatino" w:eastAsia="Times New Roman" w:hAnsi="Palatino" w:cs="Times New Roman"/>
          <w:lang w:eastAsia="es-ES_tradnl"/>
        </w:rPr>
        <w:t xml:space="preserve">) y del Cabildo de La Palma para la gestión de residuos orgánicos en una finca experimental (disponible </w:t>
      </w:r>
      <w:hyperlink r:id="rId6" w:history="1">
        <w:r w:rsidRPr="00C515B0">
          <w:rPr>
            <w:rStyle w:val="Hipervnculo"/>
            <w:rFonts w:ascii="Palatino" w:eastAsia="Times New Roman" w:hAnsi="Palatino" w:cs="Times New Roman"/>
            <w:lang w:eastAsia="es-ES_tradnl"/>
          </w:rPr>
          <w:t>aquí</w:t>
        </w:r>
      </w:hyperlink>
      <w:r>
        <w:rPr>
          <w:rFonts w:ascii="Palatino" w:eastAsia="Times New Roman" w:hAnsi="Palatino" w:cs="Times New Roman"/>
          <w:lang w:eastAsia="es-ES_tradnl"/>
        </w:rPr>
        <w:t xml:space="preserve">). No se aprecia, por tanto, todavía una apuesta decidida desde </w:t>
      </w:r>
      <w:r w:rsidR="00FD084A">
        <w:rPr>
          <w:rFonts w:ascii="Palatino" w:eastAsia="Times New Roman" w:hAnsi="Palatino" w:cs="Times New Roman"/>
          <w:lang w:eastAsia="es-ES_tradnl"/>
        </w:rPr>
        <w:t>las entidades públicas canarias</w:t>
      </w:r>
      <w:r>
        <w:rPr>
          <w:rFonts w:ascii="Palatino" w:eastAsia="Times New Roman" w:hAnsi="Palatino" w:cs="Times New Roman"/>
          <w:lang w:eastAsia="es-ES_tradnl"/>
        </w:rPr>
        <w:t xml:space="preserve"> por este tipo de contratación, lo que supone una oportunidad para el </w:t>
      </w:r>
      <w:r w:rsidR="00FD084A">
        <w:rPr>
          <w:rFonts w:ascii="Palatino" w:eastAsia="Times New Roman" w:hAnsi="Palatino" w:cs="Times New Roman"/>
          <w:lang w:eastAsia="es-ES_tradnl"/>
        </w:rPr>
        <w:t>[nombre de la organización]</w:t>
      </w:r>
      <w:r>
        <w:rPr>
          <w:rFonts w:ascii="Palatino" w:eastAsia="Times New Roman" w:hAnsi="Palatino" w:cs="Times New Roman"/>
          <w:lang w:eastAsia="es-ES_tradnl"/>
        </w:rPr>
        <w:t xml:space="preserve"> de liderar esta apuesta por la sostenibilidad social y ambiental a través de sus licitaciones públicas. </w:t>
      </w:r>
    </w:p>
    <w:p w:rsidR="00C515B0" w:rsidRDefault="00C515B0" w:rsidP="008624FD">
      <w:pPr>
        <w:spacing w:line="360" w:lineRule="auto"/>
        <w:jc w:val="both"/>
        <w:rPr>
          <w:rFonts w:ascii="Palatino" w:eastAsia="Times New Roman" w:hAnsi="Palatino" w:cs="Times New Roman"/>
          <w:lang w:eastAsia="es-ES_tradnl"/>
        </w:rPr>
      </w:pPr>
    </w:p>
    <w:p w:rsidR="00C515B0" w:rsidRDefault="00C515B0"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lang w:eastAsia="es-ES_tradnl"/>
        </w:rPr>
        <w:lastRenderedPageBreak/>
        <w:t xml:space="preserve">Para la implementación de este tipo de contratos se cuenta, además, con el asesoramiento de la Universidad de La Laguna a través del programa Integra en Redes, dirigido por la red ANAGOS y financiado por el Gobierno de Canarias, entre cuyos objetivos está precisamente el fomento de este tipo de contratos y la mejora de la contratación pública. En el marco de ese proyecto se han editado ya varias guías y se ha establecido un servicio de ayuda a las entidades públicas para garantizar una implementación exitosa de esta parte de la legislación. </w:t>
      </w:r>
    </w:p>
    <w:p w:rsidR="00C515B0" w:rsidRDefault="00C515B0" w:rsidP="008624FD">
      <w:pPr>
        <w:spacing w:line="360" w:lineRule="auto"/>
        <w:jc w:val="both"/>
        <w:rPr>
          <w:rFonts w:ascii="Palatino" w:eastAsia="Times New Roman" w:hAnsi="Palatino" w:cs="Times New Roman"/>
          <w:lang w:eastAsia="es-ES_tradnl"/>
        </w:rPr>
      </w:pPr>
    </w:p>
    <w:p w:rsidR="008624FD" w:rsidRDefault="004C1730" w:rsidP="008624FD">
      <w:pPr>
        <w:spacing w:line="360" w:lineRule="auto"/>
        <w:jc w:val="both"/>
        <w:rPr>
          <w:rFonts w:ascii="Palatino" w:eastAsia="Times New Roman" w:hAnsi="Palatino" w:cs="Times New Roman"/>
          <w:lang w:eastAsia="es-ES_tradnl"/>
        </w:rPr>
      </w:pPr>
      <w:r>
        <w:rPr>
          <w:rFonts w:ascii="Palatino" w:eastAsia="Times New Roman" w:hAnsi="Palatino" w:cs="Times New Roman"/>
          <w:lang w:eastAsia="es-ES_tradnl"/>
        </w:rPr>
        <w:t xml:space="preserve">En definitiva, se trata de aunar el cumplimiento de la legalidad con la contribución a un desarrollo más sostenible a través de la contratación pública sin que ello suponga un coste añadido para la institución. La manera en la que se realice depende de las decisiones estratégicas que tome el </w:t>
      </w:r>
      <w:r w:rsidR="00FD084A">
        <w:rPr>
          <w:rFonts w:ascii="Palatino" w:eastAsia="Times New Roman" w:hAnsi="Palatino" w:cs="Times New Roman"/>
          <w:lang w:eastAsia="es-ES_tradnl"/>
        </w:rPr>
        <w:t>[nombre de la entidad pública]</w:t>
      </w:r>
      <w:r>
        <w:rPr>
          <w:rFonts w:ascii="Palatino" w:eastAsia="Times New Roman" w:hAnsi="Palatino" w:cs="Times New Roman"/>
          <w:lang w:eastAsia="es-ES_tradnl"/>
        </w:rPr>
        <w:t xml:space="preserve">, que cuenta con libertad </w:t>
      </w:r>
      <w:r w:rsidR="008624FD">
        <w:rPr>
          <w:rFonts w:ascii="Palatino" w:eastAsia="Times New Roman" w:hAnsi="Palatino" w:cs="Times New Roman"/>
          <w:lang w:eastAsia="es-ES_tradnl"/>
        </w:rPr>
        <w:t xml:space="preserve">tanto </w:t>
      </w:r>
      <w:r>
        <w:rPr>
          <w:rFonts w:ascii="Palatino" w:eastAsia="Times New Roman" w:hAnsi="Palatino" w:cs="Times New Roman"/>
          <w:lang w:eastAsia="es-ES_tradnl"/>
        </w:rPr>
        <w:t>para fijar los porcentajes de reserva como las maneras en las que materializarlo</w:t>
      </w:r>
      <w:r w:rsidR="008624FD">
        <w:rPr>
          <w:rFonts w:ascii="Palatino" w:eastAsia="Times New Roman" w:hAnsi="Palatino" w:cs="Times New Roman"/>
          <w:lang w:eastAsia="es-ES_tradnl"/>
        </w:rPr>
        <w:t xml:space="preserve">. </w:t>
      </w:r>
    </w:p>
    <w:p w:rsidR="008624FD" w:rsidRDefault="008624FD" w:rsidP="008624FD">
      <w:pPr>
        <w:spacing w:line="360" w:lineRule="auto"/>
        <w:jc w:val="both"/>
        <w:rPr>
          <w:rFonts w:ascii="Palatino" w:eastAsia="Times New Roman" w:hAnsi="Palatino" w:cs="Times New Roman"/>
          <w:lang w:eastAsia="es-ES_tradnl"/>
        </w:rPr>
      </w:pPr>
    </w:p>
    <w:p w:rsidR="00C515B0" w:rsidRPr="00C515B0" w:rsidRDefault="008624FD" w:rsidP="008624FD">
      <w:pPr>
        <w:spacing w:line="360" w:lineRule="auto"/>
        <w:jc w:val="both"/>
        <w:rPr>
          <w:rFonts w:ascii="Palatino" w:hAnsi="Palatino"/>
        </w:rPr>
      </w:pPr>
      <w:r>
        <w:rPr>
          <w:rFonts w:ascii="Palatino" w:eastAsia="Times New Roman" w:hAnsi="Palatino" w:cs="Times New Roman"/>
          <w:lang w:eastAsia="es-ES_tradnl"/>
        </w:rPr>
        <w:t xml:space="preserve">El impulso de este tipo de contrataciones se alinea, además de con las estrategias macroeconómicas como: la Agenda 2030, el plan </w:t>
      </w:r>
      <w:proofErr w:type="spellStart"/>
      <w:r>
        <w:rPr>
          <w:rFonts w:ascii="Palatino" w:eastAsia="Times New Roman" w:hAnsi="Palatino" w:cs="Times New Roman"/>
          <w:lang w:eastAsia="es-ES_tradnl"/>
        </w:rPr>
        <w:t>Next-Generation</w:t>
      </w:r>
      <w:proofErr w:type="spellEnd"/>
      <w:r>
        <w:rPr>
          <w:rFonts w:ascii="Palatino" w:eastAsia="Times New Roman" w:hAnsi="Palatino" w:cs="Times New Roman"/>
          <w:lang w:eastAsia="es-ES_tradnl"/>
        </w:rPr>
        <w:t xml:space="preserve"> de la UE, el Plan Recupera del Gobierno de Canarias, con estrategias propias del </w:t>
      </w:r>
      <w:r w:rsidR="00FD084A">
        <w:rPr>
          <w:rFonts w:ascii="Palatino" w:eastAsia="Times New Roman" w:hAnsi="Palatino" w:cs="Times New Roman"/>
          <w:lang w:eastAsia="es-ES_tradnl"/>
        </w:rPr>
        <w:t>[nombre de la entidad pública y las estrategias que correspondan].</w:t>
      </w:r>
    </w:p>
    <w:sectPr w:rsidR="00C515B0" w:rsidRPr="00C515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FA"/>
    <w:rsid w:val="00116037"/>
    <w:rsid w:val="002775D0"/>
    <w:rsid w:val="002F3989"/>
    <w:rsid w:val="004C1730"/>
    <w:rsid w:val="005C3D97"/>
    <w:rsid w:val="008624FD"/>
    <w:rsid w:val="00AE0455"/>
    <w:rsid w:val="00C13CFA"/>
    <w:rsid w:val="00C515B0"/>
    <w:rsid w:val="00CC0FE4"/>
    <w:rsid w:val="00D47ECC"/>
    <w:rsid w:val="00DE77AA"/>
    <w:rsid w:val="00F22A6D"/>
    <w:rsid w:val="00FD0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108316E"/>
  <w15:chartTrackingRefBased/>
  <w15:docId w15:val="{5445294D-9065-DB44-B77E-B8EA0E71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15B0"/>
    <w:rPr>
      <w:color w:val="0563C1" w:themeColor="hyperlink"/>
      <w:u w:val="single"/>
    </w:rPr>
  </w:style>
  <w:style w:type="character" w:styleId="Mencinsinresolver">
    <w:name w:val="Unresolved Mention"/>
    <w:basedOn w:val="Fuentedeprrafopredeter"/>
    <w:uiPriority w:val="99"/>
    <w:semiHidden/>
    <w:unhideWhenUsed/>
    <w:rsid w:val="00C51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4756">
      <w:bodyDiv w:val="1"/>
      <w:marLeft w:val="0"/>
      <w:marRight w:val="0"/>
      <w:marTop w:val="0"/>
      <w:marBottom w:val="0"/>
      <w:divBdr>
        <w:top w:val="none" w:sz="0" w:space="0" w:color="auto"/>
        <w:left w:val="none" w:sz="0" w:space="0" w:color="auto"/>
        <w:bottom w:val="none" w:sz="0" w:space="0" w:color="auto"/>
        <w:right w:val="none" w:sz="0" w:space="0" w:color="auto"/>
      </w:divBdr>
    </w:div>
    <w:div w:id="429551896">
      <w:bodyDiv w:val="1"/>
      <w:marLeft w:val="0"/>
      <w:marRight w:val="0"/>
      <w:marTop w:val="0"/>
      <w:marBottom w:val="0"/>
      <w:divBdr>
        <w:top w:val="none" w:sz="0" w:space="0" w:color="auto"/>
        <w:left w:val="none" w:sz="0" w:space="0" w:color="auto"/>
        <w:bottom w:val="none" w:sz="0" w:space="0" w:color="auto"/>
        <w:right w:val="none" w:sz="0" w:space="0" w:color="auto"/>
      </w:divBdr>
    </w:div>
    <w:div w:id="447626758">
      <w:bodyDiv w:val="1"/>
      <w:marLeft w:val="0"/>
      <w:marRight w:val="0"/>
      <w:marTop w:val="0"/>
      <w:marBottom w:val="0"/>
      <w:divBdr>
        <w:top w:val="none" w:sz="0" w:space="0" w:color="auto"/>
        <w:left w:val="none" w:sz="0" w:space="0" w:color="auto"/>
        <w:bottom w:val="none" w:sz="0" w:space="0" w:color="auto"/>
        <w:right w:val="none" w:sz="0" w:space="0" w:color="auto"/>
      </w:divBdr>
    </w:div>
    <w:div w:id="617223302">
      <w:bodyDiv w:val="1"/>
      <w:marLeft w:val="0"/>
      <w:marRight w:val="0"/>
      <w:marTop w:val="0"/>
      <w:marBottom w:val="0"/>
      <w:divBdr>
        <w:top w:val="none" w:sz="0" w:space="0" w:color="auto"/>
        <w:left w:val="none" w:sz="0" w:space="0" w:color="auto"/>
        <w:bottom w:val="none" w:sz="0" w:space="0" w:color="auto"/>
        <w:right w:val="none" w:sz="0" w:space="0" w:color="auto"/>
      </w:divBdr>
    </w:div>
    <w:div w:id="738482020">
      <w:bodyDiv w:val="1"/>
      <w:marLeft w:val="0"/>
      <w:marRight w:val="0"/>
      <w:marTop w:val="0"/>
      <w:marBottom w:val="0"/>
      <w:divBdr>
        <w:top w:val="none" w:sz="0" w:space="0" w:color="auto"/>
        <w:left w:val="none" w:sz="0" w:space="0" w:color="auto"/>
        <w:bottom w:val="none" w:sz="0" w:space="0" w:color="auto"/>
        <w:right w:val="none" w:sz="0" w:space="0" w:color="auto"/>
      </w:divBdr>
    </w:div>
    <w:div w:id="823351785">
      <w:bodyDiv w:val="1"/>
      <w:marLeft w:val="0"/>
      <w:marRight w:val="0"/>
      <w:marTop w:val="0"/>
      <w:marBottom w:val="0"/>
      <w:divBdr>
        <w:top w:val="none" w:sz="0" w:space="0" w:color="auto"/>
        <w:left w:val="none" w:sz="0" w:space="0" w:color="auto"/>
        <w:bottom w:val="none" w:sz="0" w:space="0" w:color="auto"/>
        <w:right w:val="none" w:sz="0" w:space="0" w:color="auto"/>
      </w:divBdr>
    </w:div>
    <w:div w:id="1078283745">
      <w:bodyDiv w:val="1"/>
      <w:marLeft w:val="0"/>
      <w:marRight w:val="0"/>
      <w:marTop w:val="0"/>
      <w:marBottom w:val="0"/>
      <w:divBdr>
        <w:top w:val="none" w:sz="0" w:space="0" w:color="auto"/>
        <w:left w:val="none" w:sz="0" w:space="0" w:color="auto"/>
        <w:bottom w:val="none" w:sz="0" w:space="0" w:color="auto"/>
        <w:right w:val="none" w:sz="0" w:space="0" w:color="auto"/>
      </w:divBdr>
    </w:div>
    <w:div w:id="1328097590">
      <w:bodyDiv w:val="1"/>
      <w:marLeft w:val="0"/>
      <w:marRight w:val="0"/>
      <w:marTop w:val="0"/>
      <w:marBottom w:val="0"/>
      <w:divBdr>
        <w:top w:val="none" w:sz="0" w:space="0" w:color="auto"/>
        <w:left w:val="none" w:sz="0" w:space="0" w:color="auto"/>
        <w:bottom w:val="none" w:sz="0" w:space="0" w:color="auto"/>
        <w:right w:val="none" w:sz="0" w:space="0" w:color="auto"/>
      </w:divBdr>
    </w:div>
    <w:div w:id="1583949163">
      <w:bodyDiv w:val="1"/>
      <w:marLeft w:val="0"/>
      <w:marRight w:val="0"/>
      <w:marTop w:val="0"/>
      <w:marBottom w:val="0"/>
      <w:divBdr>
        <w:top w:val="none" w:sz="0" w:space="0" w:color="auto"/>
        <w:left w:val="none" w:sz="0" w:space="0" w:color="auto"/>
        <w:bottom w:val="none" w:sz="0" w:space="0" w:color="auto"/>
        <w:right w:val="none" w:sz="0" w:space="0" w:color="auto"/>
      </w:divBdr>
    </w:div>
    <w:div w:id="1596281229">
      <w:bodyDiv w:val="1"/>
      <w:marLeft w:val="0"/>
      <w:marRight w:val="0"/>
      <w:marTop w:val="0"/>
      <w:marBottom w:val="0"/>
      <w:divBdr>
        <w:top w:val="none" w:sz="0" w:space="0" w:color="auto"/>
        <w:left w:val="none" w:sz="0" w:space="0" w:color="auto"/>
        <w:bottom w:val="none" w:sz="0" w:space="0" w:color="auto"/>
        <w:right w:val="none" w:sz="0" w:space="0" w:color="auto"/>
      </w:divBdr>
    </w:div>
    <w:div w:id="1836333149">
      <w:bodyDiv w:val="1"/>
      <w:marLeft w:val="0"/>
      <w:marRight w:val="0"/>
      <w:marTop w:val="0"/>
      <w:marBottom w:val="0"/>
      <w:divBdr>
        <w:top w:val="none" w:sz="0" w:space="0" w:color="auto"/>
        <w:left w:val="none" w:sz="0" w:space="0" w:color="auto"/>
        <w:bottom w:val="none" w:sz="0" w:space="0" w:color="auto"/>
        <w:right w:val="none" w:sz="0" w:space="0" w:color="auto"/>
      </w:divBdr>
    </w:div>
    <w:div w:id="199086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rataciondelestado.es/wps/poc?uri=deeplink%3Adetalle_licitacion&amp;idEvl=8yGK1LYQ5%2BQSugstABGr5A%3D%3D" TargetMode="External"/><Relationship Id="rId5" Type="http://schemas.openxmlformats.org/officeDocument/2006/relationships/hyperlink" Target="https://contrataciondelestado.es/wps/poc?uri=deeplink:detalle_licitacion&amp;idEvl=9Rv239E2Tyymq21uxhbaVQ%3D%3D"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1756</Words>
  <Characters>9659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Mendoza Jiménez</dc:creator>
  <cp:keywords/>
  <dc:description/>
  <cp:lastModifiedBy>Javier Mendoza Jiménez</cp:lastModifiedBy>
  <cp:revision>3</cp:revision>
  <dcterms:created xsi:type="dcterms:W3CDTF">2020-11-19T14:43:00Z</dcterms:created>
  <dcterms:modified xsi:type="dcterms:W3CDTF">2020-11-19T14:45:00Z</dcterms:modified>
</cp:coreProperties>
</file>